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center"/>
        <w:rPr>
          <w:rFonts w:ascii="方正小标宋简体" w:hAnsi="黑体" w:eastAsia="方正小标宋简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宜昌市首届“优创三峡”大学生创新创业</w:t>
      </w:r>
      <w:r>
        <w:rPr>
          <w:rFonts w:hint="eastAsia" w:ascii="方正小标宋简体" w:hAnsi="黑体" w:eastAsia="方正小标宋简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大赛报名表</w:t>
      </w:r>
    </w:p>
    <w:bookmarkEnd w:id="0"/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5" w:color="FFFFFF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23"/>
        <w:gridCol w:w="557"/>
        <w:gridCol w:w="612"/>
        <w:gridCol w:w="1508"/>
        <w:gridCol w:w="1273"/>
        <w:gridCol w:w="7"/>
        <w:gridCol w:w="695"/>
        <w:gridCol w:w="10"/>
        <w:gridCol w:w="21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公司全称</w:t>
            </w:r>
          </w:p>
        </w:tc>
        <w:tc>
          <w:tcPr>
            <w:tcW w:w="3859" w:type="pct"/>
            <w:gridSpan w:val="9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参赛项目名称</w:t>
            </w:r>
          </w:p>
        </w:tc>
        <w:tc>
          <w:tcPr>
            <w:tcW w:w="3859" w:type="pct"/>
            <w:gridSpan w:val="9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公司注册时间</w:t>
            </w:r>
          </w:p>
        </w:tc>
        <w:tc>
          <w:tcPr>
            <w:tcW w:w="1571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3012" w:firstLineChars="1250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1128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所在行业</w:t>
            </w:r>
          </w:p>
        </w:tc>
        <w:tc>
          <w:tcPr>
            <w:tcW w:w="1571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员工人数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（*）</w:t>
            </w:r>
          </w:p>
        </w:tc>
        <w:tc>
          <w:tcPr>
            <w:tcW w:w="1128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1571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业内排名</w:t>
            </w:r>
          </w:p>
        </w:tc>
        <w:tc>
          <w:tcPr>
            <w:tcW w:w="1128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571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注册资金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28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3859" w:type="pct"/>
            <w:gridSpan w:val="9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法人（或创始人）信息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restar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法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（或创始人）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信 息</w:t>
            </w:r>
          </w:p>
        </w:tc>
        <w:tc>
          <w:tcPr>
            <w:tcW w:w="934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884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性别：</w:t>
            </w:r>
            <w:r>
              <w:rPr>
                <w:rFonts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65" w:type="pct"/>
            <w:gridSpan w:val="4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105" w:hanging="105" w:hangingChars="50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出生年月：</w:t>
            </w:r>
          </w:p>
        </w:tc>
        <w:tc>
          <w:tcPr>
            <w:tcW w:w="1122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持股比例：  %</w:t>
            </w:r>
          </w:p>
        </w:tc>
        <w:tc>
          <w:tcPr>
            <w:tcW w:w="2049" w:type="pct"/>
            <w:gridSpan w:val="5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1122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4" w:type="pct"/>
            <w:gridSpan w:val="8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毕业院校专业：</w:t>
            </w:r>
            <w:r>
              <w:rPr>
                <w:rFonts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818" w:type="pct"/>
            <w:gridSpan w:val="4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540" w:type="pct"/>
            <w:gridSpan w:val="5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818" w:type="pct"/>
            <w:gridSpan w:val="4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固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540" w:type="pct"/>
            <w:gridSpan w:val="5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1818" w:type="pct"/>
            <w:gridSpan w:val="4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540" w:type="pct"/>
            <w:gridSpan w:val="5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restar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03" w:firstLineChars="49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（*）</w:t>
            </w:r>
          </w:p>
        </w:tc>
        <w:tc>
          <w:tcPr>
            <w:tcW w:w="575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3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51" w:type="pct"/>
            <w:gridSpan w:val="2"/>
            <w:vMerge w:val="restar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综合毛利率</w:t>
            </w:r>
          </w:p>
        </w:tc>
        <w:tc>
          <w:tcPr>
            <w:tcW w:w="539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97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3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51" w:type="pct"/>
            <w:gridSpan w:val="2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97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3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51" w:type="pct"/>
            <w:gridSpan w:val="2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pct"/>
            <w:gridSpan w:val="3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97" w:type="pc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restar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207" w:firstLineChars="98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净利润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（*）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575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3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51" w:type="pct"/>
            <w:gridSpan w:val="2"/>
            <w:vMerge w:val="restar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存在任何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形式的债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536" w:type="pct"/>
            <w:gridSpan w:val="4"/>
            <w:vMerge w:val="restart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○是  债务金额：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420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3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51" w:type="pct"/>
            <w:gridSpan w:val="2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pct"/>
            <w:gridSpan w:val="4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" w:type="pct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3" w:type="pct"/>
            <w:gridSpan w:val="2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51" w:type="pct"/>
            <w:gridSpan w:val="2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pct"/>
            <w:gridSpan w:val="4"/>
            <w:vMerge w:val="continue"/>
            <w:shd w:val="pct5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项目简述、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专利情况及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用户群体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产品市场分析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（市场潜力、所在细分市场、细分市场占有率）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竞争分析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（竞争对手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及风险把控）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商业模式及股权结构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（产品的获利模式）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发展计划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截至目前有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无接受融资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有      投资方名称：      投资金额： 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有无融资需求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○有</w:t>
            </w:r>
            <w:r>
              <w:rPr>
                <w:rFonts w:eastAsia="仿宋_GB2312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融资金额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：万元</w:t>
            </w:r>
          </w:p>
          <w:p>
            <w:pPr>
              <w:snapToGrid w:val="0"/>
              <w:spacing w:line="18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融资方式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○股权 拟出让股权比例：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   是否接受并购？</w:t>
            </w: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○债权 抵押物名称：   预评估价值：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有无其他需求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签名或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92" w:type="pct"/>
            <w:shd w:val="pct5" w:color="FFFFFF" w:fill="auto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18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专家意见</w:t>
            </w:r>
          </w:p>
        </w:tc>
        <w:tc>
          <w:tcPr>
            <w:tcW w:w="4107" w:type="pct"/>
            <w:gridSpan w:val="10"/>
            <w:shd w:val="pct5" w:color="FFFFFF" w:fill="auto"/>
            <w:vAlign w:val="center"/>
          </w:tcPr>
          <w:p>
            <w:pPr>
              <w:snapToGrid w:val="0"/>
              <w:spacing w:line="18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before="148" w:beforeLines="50" w:line="18" w:lineRule="atLeast"/>
        <w:rPr>
          <w:rFonts w:hint="default" w:ascii="仿宋" w:hAnsi="仿宋" w:eastAsia="仿宋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提示：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14:textFill>
            <w14:solidFill>
              <w14:schemeClr w14:val="tx1"/>
            </w14:solidFill>
          </w14:textFill>
        </w:rPr>
        <w:t>请认真填写本表，本表将作为参赛审核、专家评审的重要依据。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ODBlZGUxMGJkYTdjYTBmZjMyODZmY2M4YTY1MmMifQ=="/>
  </w:docVars>
  <w:rsids>
    <w:rsidRoot w:val="316F21B5"/>
    <w:rsid w:val="316F21B5"/>
    <w:rsid w:val="33586BB1"/>
    <w:rsid w:val="63D14D00"/>
    <w:rsid w:val="675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3"/>
      <w:ind w:left="149"/>
    </w:pPr>
    <w:rPr>
      <w:rFonts w:ascii="宋体" w:hAnsi="宋体" w:eastAsia="宋体" w:cs="Times New Roman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1242</Words>
  <Characters>1352</Characters>
  <Lines>0</Lines>
  <Paragraphs>0</Paragraphs>
  <TotalTime>116</TotalTime>
  <ScaleCrop>false</ScaleCrop>
  <LinksUpToDate>false</LinksUpToDate>
  <CharactersWithSpaces>1495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2022-09-06T01:25:00Z</dcterms:created>
  <dc:creator>楽</dc:creator>
  <cp:lastModifiedBy>高美玲 13177057516</cp:lastModifiedBy>
  <dcterms:modified xsi:type="dcterms:W3CDTF">2022-09-06T08:43:01Z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7E4D80CA1A9D45F9A06D99682AE4BC0B</vt:lpwstr>
  </property>
</Properties>
</file>